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EE27B4" w:rsidRDefault="000F19EE">
            <w:r w:rsidRPr="000F19EE">
              <w:t xml:space="preserve">к постановлению  главы Администрации сельского поселения </w:t>
            </w:r>
            <w:proofErr w:type="spellStart"/>
            <w:r w:rsidR="0056062E">
              <w:t>Азяковский</w:t>
            </w:r>
            <w:proofErr w:type="spellEnd"/>
            <w:r w:rsidR="0056062E">
              <w:t xml:space="preserve"> </w:t>
            </w:r>
            <w:r w:rsidRPr="000F19EE">
              <w:t xml:space="preserve"> сельсовет муниципального района Бураевский район Республики Башкортостан</w:t>
            </w:r>
          </w:p>
          <w:p w:rsidR="00EE27B4" w:rsidRDefault="00EE27B4">
            <w:pPr>
              <w:tabs>
                <w:tab w:val="left" w:pos="838"/>
              </w:tabs>
            </w:pPr>
            <w:r>
              <w:t>от «</w:t>
            </w:r>
            <w:r w:rsidR="0056062E">
              <w:t>07</w:t>
            </w:r>
            <w:r>
              <w:t xml:space="preserve"> »</w:t>
            </w:r>
            <w:r w:rsidR="0056062E">
              <w:t xml:space="preserve"> ноября </w:t>
            </w:r>
            <w:r>
              <w:t xml:space="preserve">2017 г.  № </w:t>
            </w:r>
            <w:r w:rsidR="0056062E">
              <w:t>132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9B1D2C">
        <w:rPr>
          <w:sz w:val="28"/>
          <w:szCs w:val="28"/>
        </w:rPr>
        <w:t>контроль за</w:t>
      </w:r>
      <w:proofErr w:type="gramEnd"/>
      <w:r w:rsidRPr="009B1D2C">
        <w:rPr>
          <w:sz w:val="28"/>
          <w:szCs w:val="28"/>
        </w:rPr>
        <w:t xml:space="preserve">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C95AD8">
        <w:rPr>
          <w:sz w:val="28"/>
          <w:szCs w:val="28"/>
        </w:rPr>
        <w:t xml:space="preserve">Администрации </w:t>
      </w:r>
      <w:r w:rsidR="00EE27B4" w:rsidRPr="00EE27B4">
        <w:rPr>
          <w:sz w:val="28"/>
          <w:szCs w:val="28"/>
        </w:rPr>
        <w:t xml:space="preserve">сельского поселения </w:t>
      </w:r>
      <w:proofErr w:type="spellStart"/>
      <w:r w:rsidR="0056062E">
        <w:rPr>
          <w:sz w:val="28"/>
          <w:szCs w:val="28"/>
        </w:rPr>
        <w:t>Азяковский</w:t>
      </w:r>
      <w:proofErr w:type="spellEnd"/>
      <w:r w:rsidR="0056062E">
        <w:rPr>
          <w:sz w:val="28"/>
          <w:szCs w:val="28"/>
        </w:rPr>
        <w:t xml:space="preserve"> </w:t>
      </w:r>
      <w:bookmarkStart w:id="0" w:name="_GoBack"/>
      <w:bookmarkEnd w:id="0"/>
      <w:r w:rsidR="00EE27B4" w:rsidRPr="00EE27B4">
        <w:rPr>
          <w:sz w:val="28"/>
          <w:szCs w:val="28"/>
        </w:rPr>
        <w:t xml:space="preserve"> сельсовет муниципального района </w:t>
      </w:r>
      <w:r w:rsidR="000F19EE">
        <w:rPr>
          <w:sz w:val="28"/>
          <w:szCs w:val="28"/>
        </w:rPr>
        <w:t>Бураевский</w:t>
      </w:r>
      <w:r w:rsidR="00EE27B4" w:rsidRPr="00EE27B4">
        <w:rPr>
          <w:sz w:val="28"/>
          <w:szCs w:val="28"/>
        </w:rPr>
        <w:t xml:space="preserve"> район Республики Башкортостан</w:t>
      </w:r>
      <w:r w:rsidRPr="00223B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  <w:proofErr w:type="gramEnd"/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безопасности персональных данных.</w:t>
      </w:r>
      <w:r w:rsidRPr="009A3099">
        <w:rPr>
          <w:sz w:val="28"/>
          <w:szCs w:val="28"/>
        </w:rPr>
        <w:t xml:space="preserve"> </w:t>
      </w:r>
      <w:proofErr w:type="gramEnd"/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  <w:proofErr w:type="gramEnd"/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</w:t>
      </w:r>
      <w:proofErr w:type="gramStart"/>
      <w:r w:rsidRPr="00EE6FFD">
        <w:rPr>
          <w:sz w:val="28"/>
          <w:szCs w:val="28"/>
        </w:rPr>
        <w:t>ии и ау</w:t>
      </w:r>
      <w:proofErr w:type="gramEnd"/>
      <w:r w:rsidRPr="00EE6FFD">
        <w:rPr>
          <w:sz w:val="28"/>
          <w:szCs w:val="28"/>
        </w:rPr>
        <w:t>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 xml:space="preserve">ель обязан заменить его </w:t>
      </w:r>
      <w:proofErr w:type="gramStart"/>
      <w:r w:rsidRPr="00696335">
        <w:rPr>
          <w:sz w:val="28"/>
          <w:szCs w:val="28"/>
        </w:rPr>
        <w:t>на</w:t>
      </w:r>
      <w:proofErr w:type="gramEnd"/>
      <w:r w:rsidRPr="00696335">
        <w:rPr>
          <w:sz w:val="28"/>
          <w:szCs w:val="28"/>
        </w:rPr>
        <w:t xml:space="preserve">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FD" w:rsidRDefault="000E6BFD" w:rsidP="002E0D5B">
      <w:r>
        <w:separator/>
      </w:r>
    </w:p>
  </w:endnote>
  <w:endnote w:type="continuationSeparator" w:id="0">
    <w:p w:rsidR="000E6BFD" w:rsidRDefault="000E6BFD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1"/>
      <w:docPartObj>
        <w:docPartGallery w:val="Page Numbers (Bottom of Page)"/>
        <w:docPartUnique/>
      </w:docPartObj>
    </w:sdtPr>
    <w:sdtEndPr/>
    <w:sdtContent>
      <w:p w:rsidR="00CB4A6F" w:rsidRDefault="00025930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56062E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FD" w:rsidRDefault="000E6BFD" w:rsidP="002E0D5B">
      <w:r>
        <w:separator/>
      </w:r>
    </w:p>
  </w:footnote>
  <w:footnote w:type="continuationSeparator" w:id="0">
    <w:p w:rsidR="000E6BFD" w:rsidRDefault="000E6BFD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E6BFD"/>
    <w:rsid w:val="000F19EE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714C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062E"/>
    <w:rsid w:val="00565A7E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Азяковский сельсовет</cp:lastModifiedBy>
  <cp:revision>54</cp:revision>
  <cp:lastPrinted>2017-11-07T11:25:00Z</cp:lastPrinted>
  <dcterms:created xsi:type="dcterms:W3CDTF">2013-06-26T14:24:00Z</dcterms:created>
  <dcterms:modified xsi:type="dcterms:W3CDTF">2017-11-07T11:26:00Z</dcterms:modified>
</cp:coreProperties>
</file>